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(Name of Contact Person or Human Resources Department)</w:t>
      </w:r>
    </w:p>
    <w:p w:rsidR="00000000" w:rsidDel="00000000" w:rsidP="00000000" w:rsidRDefault="00000000" w:rsidRPr="00000000" w14:paraId="00000002">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(Name of Company)</w:t>
      </w:r>
    </w:p>
    <w:p w:rsidR="00000000" w:rsidDel="00000000" w:rsidP="00000000" w:rsidRDefault="00000000" w:rsidRPr="00000000" w14:paraId="00000003">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(Address)</w:t>
      </w:r>
    </w:p>
    <w:p w:rsidR="00000000" w:rsidDel="00000000" w:rsidP="00000000" w:rsidRDefault="00000000" w:rsidRPr="00000000" w14:paraId="00000004">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05">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(Date)</w:t>
      </w:r>
    </w:p>
    <w:p w:rsidR="00000000" w:rsidDel="00000000" w:rsidP="00000000" w:rsidRDefault="00000000" w:rsidRPr="00000000" w14:paraId="00000006">
      <w:pPr>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07">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Dear (specific full name of person who looks after this in each company or, if unavailable ‘Human Resources Department):</w:t>
      </w:r>
    </w:p>
    <w:p w:rsidR="00000000" w:rsidDel="00000000" w:rsidP="00000000" w:rsidRDefault="00000000" w:rsidRPr="00000000" w14:paraId="00000008">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09">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We are writing to invite you to learn more about the Association of Cooperative Counselling Therapists of Canada (ACCT) and </w:t>
      </w:r>
      <w:r w:rsidDel="00000000" w:rsidR="00000000" w:rsidRPr="00000000">
        <w:rPr>
          <w:rFonts w:ascii="Calibri" w:cs="Calibri" w:eastAsia="Calibri" w:hAnsi="Calibri"/>
          <w:b w:val="1"/>
          <w:bCs w:val="1"/>
          <w:color w:val="333333"/>
          <w:sz w:val="22"/>
          <w:szCs w:val="22"/>
          <w:rtl w:val="0"/>
        </w:rPr>
        <w:t xml:space="preserve">to request that you consider making a change to your company benefits plan regarding counselling services</w:t>
      </w:r>
      <w:r w:rsidDel="00000000" w:rsidR="00000000" w:rsidRPr="00000000">
        <w:rPr>
          <w:rFonts w:ascii="Calibri" w:cs="Calibri" w:eastAsia="Calibri" w:hAnsi="Calibri"/>
          <w:color w:val="333333"/>
          <w:sz w:val="22"/>
          <w:szCs w:val="22"/>
          <w:rtl w:val="0"/>
        </w:rPr>
        <w:t xml:space="preserve">. This change is in the best interests of your company spending - and your employees’ mental health and productivity!</w:t>
      </w:r>
    </w:p>
    <w:p w:rsidR="00000000" w:rsidDel="00000000" w:rsidP="00000000" w:rsidRDefault="00000000" w:rsidRPr="00000000" w14:paraId="0000000A">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0B">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The American Psychological Association Psychological Association (APA) approved the Resolution on the Recognition of Psychotherapy Effectiveness, which states </w:t>
      </w:r>
      <w:r w:rsidDel="00000000" w:rsidR="00000000" w:rsidRPr="00000000">
        <w:rPr>
          <w:rFonts w:ascii="Calibri" w:cs="Calibri" w:eastAsia="Calibri" w:hAnsi="Calibri"/>
          <w:i w:val="1"/>
          <w:iCs w:val="1"/>
          <w:color w:val="333333"/>
          <w:sz w:val="22"/>
          <w:szCs w:val="22"/>
          <w:rtl w:val="0"/>
        </w:rPr>
        <w:t xml:space="preserve">“Comparisons of different forms of psychotherapy most often result in relatively nonsignificant difference, and contextual and relationship factors often mediate or moderate outcomes. These findings suggest that (1) most valid and structured psychotherapies are roughly equivalent in effectiveness and (2) patient and therapist characteristics, which are not usually captured by a patient’s diagnosis or by the therapist’s use of a specific psychotherapy, affect the results.”</w:t>
      </w:r>
      <w:r w:rsidDel="00000000" w:rsidR="00000000" w:rsidRPr="00000000">
        <w:rPr>
          <w:rFonts w:ascii="Calibri" w:cs="Calibri" w:eastAsia="Calibri" w:hAnsi="Calibri"/>
          <w:color w:val="333333"/>
          <w:sz w:val="22"/>
          <w:szCs w:val="22"/>
          <w:rtl w:val="0"/>
        </w:rPr>
        <w:t xml:space="preserve"> (APA, 2012)</w:t>
      </w:r>
    </w:p>
    <w:p w:rsidR="00000000" w:rsidDel="00000000" w:rsidP="00000000" w:rsidRDefault="00000000" w:rsidRPr="00000000" w14:paraId="0000000C">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0D">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Research evidence about the effectiveness of counselling and psychotherapy overall is clear; counselling works.  What is also clear is that the quality of the therapeutic relationship a counsellor offers to a </w:t>
      </w:r>
      <w:r w:rsidDel="00000000" w:rsidR="00000000" w:rsidRPr="00000000">
        <w:rPr>
          <w:color w:val="333333"/>
          <w:sz w:val="22"/>
          <w:szCs w:val="22"/>
          <w:rtl w:val="0"/>
        </w:rPr>
        <w:t xml:space="preserve">client is</w:t>
      </w:r>
      <w:r w:rsidDel="00000000" w:rsidR="00000000" w:rsidRPr="00000000">
        <w:rPr>
          <w:rFonts w:ascii="Calibri" w:cs="Calibri" w:eastAsia="Calibri" w:hAnsi="Calibri"/>
          <w:color w:val="333333"/>
          <w:sz w:val="22"/>
          <w:szCs w:val="22"/>
          <w:rtl w:val="0"/>
        </w:rPr>
        <w:t xml:space="preserve"> the crucial factor in determining the effectiveness of counselling, rather than any particular therapeutic modality used.  It is the ability of the counsellor and client to form a trusting, therapeutic bond that has the greatest influence on positive outcomes. For this reason, it is of vital importance to allow your employees to choose a counsellor with whom they feel comfortable. </w:t>
      </w:r>
    </w:p>
    <w:p w:rsidR="00000000" w:rsidDel="00000000" w:rsidP="00000000" w:rsidRDefault="00000000" w:rsidRPr="00000000" w14:paraId="0000000E">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0F">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When a company benefit package (whether it be Sun Life, Great West Life, Manulife or other) limits employees’ options for counselling to a Registered Psychologist/Social Worker (language that was used decades ago, yet remains unchanged in some benefit plans), it may restrict the employees’ ability to engage a Counsellor with whom they connect. Additionally, as hourly rates of a Psychologist are generally 50% higher than a Counsellor, it limits the counselling hours available to support the employee.   </w:t>
      </w:r>
    </w:p>
    <w:p w:rsidR="00000000" w:rsidDel="00000000" w:rsidP="00000000" w:rsidRDefault="00000000" w:rsidRPr="00000000" w14:paraId="00000010">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11">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Psychologists are trained to diagnose and are more likely to work with individuals with severe mental illnesses or brain injuries. </w:t>
      </w:r>
      <w:r w:rsidDel="00000000" w:rsidR="00000000" w:rsidRPr="00000000">
        <w:rPr>
          <w:rFonts w:ascii="Calibri" w:cs="Calibri" w:eastAsia="Calibri" w:hAnsi="Calibri"/>
          <w:b w:val="1"/>
          <w:bCs w:val="1"/>
          <w:color w:val="333333"/>
          <w:sz w:val="22"/>
          <w:szCs w:val="22"/>
          <w:rtl w:val="0"/>
        </w:rPr>
        <w:t xml:space="preserve">The majority of your employees would benefit most from working with a Counsellor.</w:t>
      </w:r>
      <w:r w:rsidDel="00000000" w:rsidR="00000000" w:rsidRPr="00000000">
        <w:rPr>
          <w:rFonts w:ascii="Calibri" w:cs="Calibri" w:eastAsia="Calibri" w:hAnsi="Calibri"/>
          <w:color w:val="333333"/>
          <w:sz w:val="22"/>
          <w:szCs w:val="22"/>
          <w:rtl w:val="0"/>
        </w:rPr>
        <w:t xml:space="preserve">  The Counsellor’s primary role is to help their clients work through emotions and challenging life circumstances, develop healthy coping strategies, and successfully adapt to their environment.  When warranted, Counsellors will refer clients with serious mental illness/brain injuries to Psychologists or Psychiatrists.</w:t>
      </w:r>
    </w:p>
    <w:p w:rsidR="00000000" w:rsidDel="00000000" w:rsidP="00000000" w:rsidRDefault="00000000" w:rsidRPr="00000000" w14:paraId="00000012">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13">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Registered Therapeutic Counsellors and Master Therapeutic Counsellors (RTCs, MTCs) are registered with ACCT and are regulated by the ACCT Code of Ethics and Standards of Practice. ACs and MTCs are dedicated to providing the highest standard of competent professional counselling services</w:t>
      </w:r>
    </w:p>
    <w:p w:rsidR="00000000" w:rsidDel="00000000" w:rsidP="00000000" w:rsidRDefault="00000000" w:rsidRPr="00000000" w14:paraId="00000014">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15">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Counsellors holding a professional registration with ACCT are accountable for their behavior within the therapeutic framework.  RTCs, and MTCs must work within the ethical guidelines upheld by ACCT and are required to continue growing as professionals through yearly professional development, mentorship and supervision.  Clients are supported and well protected when they engage the services of a Master/ Registered Therapeutic Counsellor.</w:t>
      </w:r>
    </w:p>
    <w:p w:rsidR="00000000" w:rsidDel="00000000" w:rsidP="00000000" w:rsidRDefault="00000000" w:rsidRPr="00000000" w14:paraId="00000016">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17">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Again, what gives the best chances for successful outcomes in therapy is the trusting and healthy therapeutic relationship between the client and their counsellor. The counsellor or therapist must be someone clients feel they could come to trust and with whom they feel comfortable. We believe it is imperative that your employees have the option to choose the counsellor of their preference, rather than being limited to Registered Psychologists/Social Workers. </w:t>
      </w:r>
    </w:p>
    <w:p w:rsidR="00000000" w:rsidDel="00000000" w:rsidP="00000000" w:rsidRDefault="00000000" w:rsidRPr="00000000" w14:paraId="00000018">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19">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In the best interests of your employees’ mental health and productivity, and to optimize the funds your company allocates to their benefits, we are asking you to review the wording of your benefit plan.  If it contains wording that limits your employees to the services of Registered Psychologists/Social Workers, please consider having this changed to include Registered/Accredited/Licensed Counselling professionals.  Also, if your Company Benefit Plan does cover counselling services, please join Sun Life, Blue Cross, Green Shield, Claim Secure and others to ensure the ACCT is included on their list of Professional Counselling Associations.</w:t>
      </w:r>
    </w:p>
    <w:p w:rsidR="00000000" w:rsidDel="00000000" w:rsidP="00000000" w:rsidRDefault="00000000" w:rsidRPr="00000000" w14:paraId="0000001A">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1B">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Thank you for considering this invitation.  For more information, please feel free to visit our website indicated below or phone 1-844-369-ACCT(2228).</w:t>
      </w:r>
    </w:p>
    <w:p w:rsidR="00000000" w:rsidDel="00000000" w:rsidP="00000000" w:rsidRDefault="00000000" w:rsidRPr="00000000" w14:paraId="0000001C">
      <w:pPr>
        <w:ind w:left="-284" w:firstLine="0"/>
        <w:rPr>
          <w:rFonts w:ascii="Calibri" w:cs="Calibri" w:eastAsia="Calibri" w:hAnsi="Calibri"/>
          <w:color w:val="333333"/>
          <w:sz w:val="22"/>
          <w:szCs w:val="22"/>
        </w:rPr>
      </w:pPr>
      <w:r w:rsidDel="00000000" w:rsidR="00000000" w:rsidRPr="00000000">
        <w:rPr>
          <w:rtl w:val="0"/>
        </w:rPr>
      </w:r>
    </w:p>
    <w:p w:rsidR="00000000" w:rsidDel="00000000" w:rsidP="00000000" w:rsidRDefault="00000000" w:rsidRPr="00000000" w14:paraId="0000001D">
      <w:pPr>
        <w:ind w:left="-284" w:firstLine="0"/>
        <w:rPr>
          <w:rFonts w:ascii="Calibri" w:cs="Calibri" w:eastAsia="Calibri" w:hAnsi="Calibri"/>
          <w:color w:val="333333"/>
          <w:sz w:val="22"/>
          <w:szCs w:val="22"/>
        </w:rPr>
      </w:pPr>
      <w:r w:rsidDel="00000000" w:rsidR="00000000" w:rsidRPr="00000000">
        <w:rPr>
          <w:rFonts w:ascii="Calibri" w:cs="Calibri" w:eastAsia="Calibri" w:hAnsi="Calibri"/>
          <w:color w:val="333333"/>
          <w:sz w:val="22"/>
          <w:szCs w:val="22"/>
          <w:rtl w:val="0"/>
        </w:rPr>
        <w:t xml:space="preserve">Sincerely,</w:t>
      </w:r>
    </w:p>
    <w:p w:rsidR="00000000" w:rsidDel="00000000" w:rsidP="00000000" w:rsidRDefault="00000000" w:rsidRPr="00000000" w14:paraId="0000001E">
      <w:pPr>
        <w:ind w:left="-284" w:firstLine="0"/>
        <w:rPr>
          <w:rFonts w:ascii="Calibri" w:cs="Calibri" w:eastAsia="Calibri" w:hAnsi="Calibri"/>
          <w:color w:val="333333"/>
          <w:sz w:val="22"/>
          <w:szCs w:val="22"/>
        </w:rPr>
      </w:pPr>
      <w:r w:rsidDel="00000000" w:rsidR="00000000" w:rsidRPr="00000000">
        <w:rPr>
          <w:color w:val="333333"/>
          <w:sz w:val="22"/>
          <w:szCs w:val="22"/>
        </w:rPr>
        <w:drawing>
          <wp:inline distB="114300" distT="114300" distL="114300" distR="114300">
            <wp:extent cx="1060098" cy="84326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60098" cy="84326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ind w:left="-284" w:firstLine="0"/>
        <w:rPr>
          <w:rFonts w:ascii="Calibri" w:cs="Calibri" w:eastAsia="Calibri" w:hAnsi="Calibri"/>
          <w:color w:val="333333"/>
          <w:sz w:val="22"/>
          <w:szCs w:val="22"/>
        </w:rPr>
      </w:pPr>
      <w:r w:rsidDel="00000000" w:rsidR="00000000" w:rsidRPr="00000000">
        <w:rPr>
          <w:color w:val="333333"/>
          <w:sz w:val="22"/>
          <w:szCs w:val="22"/>
          <w:rtl w:val="0"/>
        </w:rPr>
        <w:t xml:space="preserve">Jasen McQuarrie</w:t>
      </w:r>
      <w:r w:rsidDel="00000000" w:rsidR="00000000" w:rsidRPr="00000000">
        <w:rPr>
          <w:rFonts w:ascii="Calibri" w:cs="Calibri" w:eastAsia="Calibri" w:hAnsi="Calibri"/>
          <w:color w:val="333333"/>
          <w:sz w:val="22"/>
          <w:szCs w:val="22"/>
          <w:rtl w:val="0"/>
        </w:rPr>
        <w:t xml:space="preserve">, RTC</w:t>
      </w:r>
    </w:p>
    <w:p w:rsidR="00000000" w:rsidDel="00000000" w:rsidP="00000000" w:rsidRDefault="00000000" w:rsidRPr="00000000" w14:paraId="00000020">
      <w:pPr>
        <w:ind w:left="-284" w:firstLine="0"/>
        <w:rPr/>
      </w:pPr>
      <w:r w:rsidDel="00000000" w:rsidR="00000000" w:rsidRPr="00000000">
        <w:rPr>
          <w:rFonts w:ascii="Calibri" w:cs="Calibri" w:eastAsia="Calibri" w:hAnsi="Calibri"/>
          <w:color w:val="333333"/>
          <w:sz w:val="22"/>
          <w:szCs w:val="22"/>
          <w:rtl w:val="0"/>
        </w:rPr>
        <w:t xml:space="preserve">President &amp; Board Chair</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800" w:right="1800" w:header="4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Broadcas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-296544</wp:posOffset>
          </wp:positionH>
          <wp:positionV relativeFrom="paragraph">
            <wp:posOffset>0</wp:posOffset>
          </wp:positionV>
          <wp:extent cx="6029960" cy="708660"/>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029960" cy="70866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567"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Broadcast" w:cs="Broadcast" w:eastAsia="Broadcast" w:hAnsi="Broadcast"/>
        <w:b w:val="0"/>
        <w:bCs w:val="0"/>
        <w:i w:val="0"/>
        <w:iCs w:val="0"/>
        <w:smallCaps w:val="0"/>
        <w:strike w:val="0"/>
        <w:color w:val="ff0000"/>
        <w:sz w:val="28"/>
        <w:szCs w:val="28"/>
        <w:u w:val="none"/>
        <w:shd w:fill="auto" w:val="clear"/>
        <w:vertAlign w:val="baseline"/>
      </w:rPr>
      <w:drawing>
        <wp:inline distB="0" distT="0" distL="0" distR="0">
          <wp:extent cx="3035300" cy="1524000"/>
          <wp:effectExtent b="0" l="0" r="0" t="0"/>
          <wp:docPr descr=":acct-Logo.png" id="3" name="image1.png"/>
          <a:graphic>
            <a:graphicData uri="http://schemas.openxmlformats.org/drawingml/2006/picture">
              <pic:pic>
                <pic:nvPicPr>
                  <pic:cNvPr descr=":acct-Logo.png" id="0" name="image1.png"/>
                  <pic:cNvPicPr preferRelativeResize="0"/>
                </pic:nvPicPr>
                <pic:blipFill>
                  <a:blip r:embed="rId1"/>
                  <a:srcRect b="0" l="0" r="0" t="0"/>
                  <a:stretch>
                    <a:fillRect/>
                  </a:stretch>
                </pic:blipFill>
                <pic:spPr>
                  <a:xfrm>
                    <a:off x="0" y="0"/>
                    <a:ext cx="3035300" cy="15240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azMU2JuKoL4N+M9DBnIGnN2ow==">CgMxLjA4AHIhMS1nYk45b2pnb0hCTS1qVjRuVWtPQUdjYWZRZ3pTUHBT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